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CC42FD" w:rsidRPr="00CC42FD" w:rsidTr="00CC42FD">
        <w:trPr>
          <w:tblCellSpacing w:w="15" w:type="dxa"/>
        </w:trPr>
        <w:tc>
          <w:tcPr>
            <w:tcW w:w="0" w:type="auto"/>
            <w:vAlign w:val="center"/>
            <w:hideMark/>
          </w:tcPr>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Arial" w:eastAsia="Times New Roman" w:hAnsi="Arial" w:cs="Arial"/>
                <w:color w:val="000000"/>
                <w:sz w:val="18"/>
                <w:szCs w:val="18"/>
              </w:rPr>
              <w:t>Công văn số :14327/CT-TT&amp;HT</w:t>
            </w:r>
            <w:r w:rsidRPr="00CC42FD">
              <w:rPr>
                <w:rFonts w:ascii="Arial" w:eastAsia="Times New Roman" w:hAnsi="Arial" w:cs="Arial"/>
                <w:color w:val="000000"/>
                <w:sz w:val="18"/>
              </w:rPr>
              <w:t> </w:t>
            </w:r>
            <w:r w:rsidRPr="00CC42FD">
              <w:rPr>
                <w:rFonts w:ascii="Arial" w:eastAsia="Times New Roman" w:hAnsi="Arial" w:cs="Arial"/>
                <w:color w:val="000000"/>
                <w:sz w:val="18"/>
                <w:szCs w:val="18"/>
              </w:rPr>
              <w:t>;Ngày phát hành :13/11/2013</w:t>
            </w:r>
          </w:p>
        </w:tc>
      </w:tr>
      <w:tr w:rsidR="00CC42FD" w:rsidRPr="00CC42FD" w:rsidTr="00CC42FD">
        <w:trPr>
          <w:tblCellSpacing w:w="15" w:type="dxa"/>
        </w:trPr>
        <w:tc>
          <w:tcPr>
            <w:tcW w:w="0" w:type="auto"/>
            <w:vAlign w:val="center"/>
            <w:hideMark/>
          </w:tcPr>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Arial" w:eastAsia="Times New Roman" w:hAnsi="Arial" w:cs="Arial"/>
                <w:b/>
                <w:bCs/>
                <w:color w:val="0033CC"/>
                <w:sz w:val="18"/>
                <w:szCs w:val="18"/>
              </w:rPr>
              <w:t>V/v thuế nhà thầu nước ngoài - Công ty TNHH Ever Tech Plastic Việt Nam - MST : 3700442520</w:t>
            </w:r>
          </w:p>
        </w:tc>
      </w:tr>
      <w:tr w:rsidR="00CC42FD" w:rsidRPr="00CC42FD" w:rsidTr="00CC42FD">
        <w:trPr>
          <w:tblCellSpacing w:w="15" w:type="dxa"/>
        </w:trPr>
        <w:tc>
          <w:tcPr>
            <w:tcW w:w="0" w:type="auto"/>
            <w:vAlign w:val="center"/>
            <w:hideMark/>
          </w:tcPr>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color w:val="000080"/>
                <w:sz w:val="20"/>
                <w:szCs w:val="20"/>
              </w:rPr>
              <w:t>Kính Gửi: Công ty TNHH Ever Tech Plastic Việt</w:t>
            </w:r>
            <w:r w:rsidRPr="00CC42FD">
              <w:rPr>
                <w:rFonts w:ascii="Tahoma" w:eastAsia="Times New Roman" w:hAnsi="Tahoma" w:cs="Tahoma"/>
                <w:color w:val="000080"/>
                <w:sz w:val="20"/>
              </w:rPr>
              <w:t> </w:t>
            </w:r>
            <w:r w:rsidRPr="00CC42FD">
              <w:rPr>
                <w:rFonts w:ascii="Tahoma" w:eastAsia="Times New Roman" w:hAnsi="Tahoma" w:cs="Tahoma"/>
                <w:color w:val="000080"/>
                <w:sz w:val="20"/>
                <w:szCs w:val="20"/>
              </w:rPr>
              <w:t>Nam.</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color w:val="000080"/>
                <w:sz w:val="20"/>
                <w:szCs w:val="20"/>
              </w:rPr>
              <w:t>   Cục Thuế tỉnh Bình Dương có nhận văn bản số 195/CV-2013 ngày 30/10/2013 của Công ty TNHH Ever Tech Plastic Việt</w:t>
            </w:r>
            <w:r w:rsidRPr="00CC42FD">
              <w:rPr>
                <w:rFonts w:ascii="Tahoma" w:eastAsia="Times New Roman" w:hAnsi="Tahoma" w:cs="Tahoma"/>
                <w:color w:val="000080"/>
                <w:sz w:val="20"/>
              </w:rPr>
              <w:t> </w:t>
            </w:r>
            <w:r w:rsidRPr="00CC42FD">
              <w:rPr>
                <w:rFonts w:ascii="Tahoma" w:eastAsia="Times New Roman" w:hAnsi="Tahoma" w:cs="Tahoma"/>
                <w:color w:val="000080"/>
                <w:sz w:val="20"/>
                <w:szCs w:val="20"/>
              </w:rPr>
              <w:t>Nam</w:t>
            </w:r>
            <w:r w:rsidRPr="00CC42FD">
              <w:rPr>
                <w:rFonts w:ascii="Tahoma" w:eastAsia="Times New Roman" w:hAnsi="Tahoma" w:cs="Tahoma"/>
                <w:color w:val="000080"/>
                <w:sz w:val="20"/>
              </w:rPr>
              <w:t> </w:t>
            </w:r>
            <w:r w:rsidRPr="00CC42FD">
              <w:rPr>
                <w:rFonts w:ascii="Tahoma" w:eastAsia="Times New Roman" w:hAnsi="Tahoma" w:cs="Tahoma"/>
                <w:color w:val="000080"/>
                <w:sz w:val="20"/>
                <w:szCs w:val="20"/>
              </w:rPr>
              <w:t>đề nghị hướng dẫn về thuế nhà thầu nước ngoài đối với khoản thu nhập từ tiền bản quyền.</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color w:val="000080"/>
                <w:sz w:val="20"/>
                <w:szCs w:val="20"/>
              </w:rPr>
              <w:t>   Qua nội dung văn bản nêu trên, Cục Thuế có ý kiến như sau:</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color w:val="000080"/>
                <w:sz w:val="20"/>
                <w:szCs w:val="20"/>
              </w:rPr>
              <w:t>   Tại khoản 21, điều 4, chương I, thông tư số 06/2012/TT-BTC ngày 11/1/2012 của Bộ Tài chính qui định về đối tượng không chịu thuế GTGT như sau:</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i/>
                <w:iCs/>
                <w:color w:val="000080"/>
                <w:sz w:val="20"/>
                <w:szCs w:val="20"/>
              </w:rPr>
              <w:t>   “Phần mềm máy tính bao gồm sản phẩm phần mềm và dịch vụ phần mềm theo quy định của pháp luật”.</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color w:val="000080"/>
                <w:sz w:val="20"/>
                <w:szCs w:val="20"/>
              </w:rPr>
              <w:t>   Tại khoản 3, điều 7, thông tư số 60/2012/TT- BTC ngày 12/04/2013 của Bộ Tài Chính qui định về thu nhập chịu thuế TNDN của nhà thầu nước ngoài như sau:</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i/>
                <w:iCs/>
                <w:color w:val="000080"/>
                <w:sz w:val="20"/>
                <w:szCs w:val="20"/>
              </w:rPr>
              <w:t>   “Thu nhập từ tiền bản quyền là khoản thu nhập dưới bất kỳ hình thức nào được trả cho quyền sử dụng, chuyển quyền sở hữu trí tuệ và chuyển giao công nghệ (bao gồm: các khoản tiền trả cho quyền sử dụng, chuyển giao quyền tác giả và quyền chủ sở hữu tác phẩm; chuyển giao quyền sở hữu công nghiệp; chuyển giao công nghệ)”.</w:t>
            </w:r>
          </w:p>
          <w:p w:rsidR="00CC42FD" w:rsidRPr="00CC42FD" w:rsidRDefault="00CC42FD" w:rsidP="00CC42FD">
            <w:pPr>
              <w:spacing w:before="100" w:beforeAutospacing="1" w:after="100" w:afterAutospacing="1" w:line="240" w:lineRule="auto"/>
              <w:rPr>
                <w:rFonts w:ascii="Arial" w:eastAsia="Times New Roman" w:hAnsi="Arial" w:cs="Arial"/>
                <w:color w:val="000000"/>
                <w:sz w:val="18"/>
                <w:szCs w:val="18"/>
              </w:rPr>
            </w:pPr>
            <w:r w:rsidRPr="00CC42FD">
              <w:rPr>
                <w:rFonts w:ascii="Tahoma" w:eastAsia="Times New Roman" w:hAnsi="Tahoma" w:cs="Tahoma"/>
                <w:color w:val="000080"/>
                <w:sz w:val="20"/>
                <w:szCs w:val="20"/>
              </w:rPr>
              <w:t>   Căn cứ theo qui định nêu trên, thì khi thanh toán tiền cho phía nước ngoài để sử dụng bản quyền phần mềm máy tính, Công ty sẽ phải kê khai và nộp thay thuế TNDN cho nhà thầu nước ngoài theo hướng dẫn tại điều 13, thông tư số 60/2012/TT- BTC ngày 12/04/2013 của Bộ Tài Chính như sau:</w:t>
            </w:r>
          </w:p>
          <w:tbl>
            <w:tblPr>
              <w:tblW w:w="0" w:type="auto"/>
              <w:tblInd w:w="622" w:type="dxa"/>
              <w:tblCellMar>
                <w:left w:w="0" w:type="dxa"/>
                <w:right w:w="0" w:type="dxa"/>
              </w:tblCellMar>
              <w:tblLook w:val="04A0"/>
            </w:tblPr>
            <w:tblGrid>
              <w:gridCol w:w="1466"/>
              <w:gridCol w:w="591"/>
              <w:gridCol w:w="2469"/>
              <w:gridCol w:w="419"/>
              <w:gridCol w:w="3441"/>
            </w:tblGrid>
            <w:tr w:rsidR="00CC42FD" w:rsidRPr="00CC42FD">
              <w:tc>
                <w:tcPr>
                  <w:tcW w:w="1466" w:type="dxa"/>
                  <w:tcBorders>
                    <w:top w:val="nil"/>
                    <w:left w:val="nil"/>
                    <w:bottom w:val="nil"/>
                    <w:right w:val="nil"/>
                  </w:tcBorders>
                  <w:shd w:val="clear" w:color="auto" w:fill="auto"/>
                  <w:tcMar>
                    <w:top w:w="0" w:type="dxa"/>
                    <w:left w:w="108" w:type="dxa"/>
                    <w:bottom w:w="0" w:type="dxa"/>
                    <w:right w:w="108" w:type="dxa"/>
                  </w:tcMar>
                  <w:hideMark/>
                </w:tcPr>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Số thuế</w:t>
                  </w:r>
                </w:p>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 TNDN</w:t>
                  </w:r>
                </w:p>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phải nộp</w:t>
                  </w:r>
                </w:p>
              </w:tc>
              <w:tc>
                <w:tcPr>
                  <w:tcW w:w="591" w:type="dxa"/>
                  <w:tcBorders>
                    <w:top w:val="nil"/>
                    <w:left w:val="nil"/>
                    <w:bottom w:val="nil"/>
                    <w:right w:val="nil"/>
                  </w:tcBorders>
                  <w:shd w:val="clear" w:color="auto" w:fill="auto"/>
                  <w:tcMar>
                    <w:top w:w="0" w:type="dxa"/>
                    <w:left w:w="108" w:type="dxa"/>
                    <w:bottom w:w="0" w:type="dxa"/>
                    <w:right w:w="108" w:type="dxa"/>
                  </w:tcMar>
                  <w:hideMark/>
                </w:tcPr>
                <w:p w:rsidR="00CC42FD" w:rsidRPr="00CC42FD" w:rsidRDefault="00CC42FD" w:rsidP="00CC42FD">
                  <w:pPr>
                    <w:spacing w:after="0" w:line="240" w:lineRule="auto"/>
                    <w:rPr>
                      <w:rFonts w:ascii="Arial" w:eastAsia="Times New Roman" w:hAnsi="Arial" w:cs="Arial"/>
                      <w:sz w:val="18"/>
                      <w:szCs w:val="18"/>
                    </w:rPr>
                  </w:pPr>
                  <w:r w:rsidRPr="00CC42FD">
                    <w:rPr>
                      <w:rFonts w:ascii="Tahoma" w:eastAsia="Times New Roman" w:hAnsi="Tahoma" w:cs="Tahoma"/>
                      <w:color w:val="000080"/>
                      <w:sz w:val="20"/>
                      <w:szCs w:val="20"/>
                      <w:lang w:val="nl-NL"/>
                    </w:rPr>
                    <w:t> </w:t>
                  </w:r>
                </w:p>
                <w:p w:rsidR="00CC42FD" w:rsidRPr="00CC42FD" w:rsidRDefault="00CC42FD" w:rsidP="00CC42FD">
                  <w:pPr>
                    <w:spacing w:after="0" w:line="240" w:lineRule="auto"/>
                    <w:rPr>
                      <w:rFonts w:ascii="Arial" w:eastAsia="Times New Roman" w:hAnsi="Arial" w:cs="Arial"/>
                      <w:sz w:val="18"/>
                      <w:szCs w:val="18"/>
                    </w:rPr>
                  </w:pPr>
                  <w:r w:rsidRPr="00CC42FD">
                    <w:rPr>
                      <w:rFonts w:ascii="Tahoma" w:eastAsia="Times New Roman" w:hAnsi="Tahoma" w:cs="Tahoma"/>
                      <w:color w:val="000080"/>
                      <w:sz w:val="20"/>
                      <w:szCs w:val="20"/>
                      <w:lang w:val="nl-NL"/>
                    </w:rPr>
                    <w:t>=</w:t>
                  </w:r>
                </w:p>
              </w:tc>
              <w:tc>
                <w:tcPr>
                  <w:tcW w:w="2469" w:type="dxa"/>
                  <w:tcBorders>
                    <w:top w:val="nil"/>
                    <w:left w:val="nil"/>
                    <w:bottom w:val="nil"/>
                    <w:right w:val="nil"/>
                  </w:tcBorders>
                  <w:shd w:val="clear" w:color="auto" w:fill="auto"/>
                  <w:tcMar>
                    <w:top w:w="0" w:type="dxa"/>
                    <w:left w:w="108" w:type="dxa"/>
                    <w:bottom w:w="0" w:type="dxa"/>
                    <w:right w:w="108" w:type="dxa"/>
                  </w:tcMar>
                  <w:hideMark/>
                </w:tcPr>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Doanh thu</w:t>
                  </w:r>
                </w:p>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tính thuế</w:t>
                  </w:r>
                </w:p>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TNDN</w:t>
                  </w:r>
                </w:p>
              </w:tc>
              <w:tc>
                <w:tcPr>
                  <w:tcW w:w="419" w:type="dxa"/>
                  <w:tcBorders>
                    <w:top w:val="nil"/>
                    <w:left w:val="nil"/>
                    <w:bottom w:val="nil"/>
                    <w:right w:val="nil"/>
                  </w:tcBorders>
                  <w:shd w:val="clear" w:color="auto" w:fill="auto"/>
                  <w:tcMar>
                    <w:top w:w="0" w:type="dxa"/>
                    <w:left w:w="108" w:type="dxa"/>
                    <w:bottom w:w="0" w:type="dxa"/>
                    <w:right w:w="108" w:type="dxa"/>
                  </w:tcMar>
                  <w:hideMark/>
                </w:tcPr>
                <w:p w:rsidR="00CC42FD" w:rsidRPr="00CC42FD" w:rsidRDefault="00CC42FD" w:rsidP="00CC42FD">
                  <w:pPr>
                    <w:spacing w:after="0" w:line="240" w:lineRule="auto"/>
                    <w:rPr>
                      <w:rFonts w:ascii="Arial" w:eastAsia="Times New Roman" w:hAnsi="Arial" w:cs="Arial"/>
                      <w:sz w:val="18"/>
                      <w:szCs w:val="18"/>
                    </w:rPr>
                  </w:pPr>
                  <w:r w:rsidRPr="00CC42FD">
                    <w:rPr>
                      <w:rFonts w:ascii="Tahoma" w:eastAsia="Times New Roman" w:hAnsi="Tahoma" w:cs="Tahoma"/>
                      <w:color w:val="000080"/>
                      <w:sz w:val="20"/>
                      <w:szCs w:val="20"/>
                      <w:lang w:val="nl-NL"/>
                    </w:rPr>
                    <w:t> </w:t>
                  </w:r>
                </w:p>
                <w:p w:rsidR="00CC42FD" w:rsidRPr="00CC42FD" w:rsidRDefault="00CC42FD" w:rsidP="00CC42FD">
                  <w:pPr>
                    <w:spacing w:after="0" w:line="240" w:lineRule="auto"/>
                    <w:rPr>
                      <w:rFonts w:ascii="Arial" w:eastAsia="Times New Roman" w:hAnsi="Arial" w:cs="Arial"/>
                      <w:sz w:val="18"/>
                      <w:szCs w:val="18"/>
                    </w:rPr>
                  </w:pPr>
                  <w:r w:rsidRPr="00CC42FD">
                    <w:rPr>
                      <w:rFonts w:ascii="Tahoma" w:eastAsia="Times New Roman" w:hAnsi="Tahoma" w:cs="Tahoma"/>
                      <w:color w:val="000080"/>
                      <w:sz w:val="20"/>
                      <w:szCs w:val="20"/>
                      <w:lang w:val="nl-NL"/>
                    </w:rPr>
                    <w:t>x</w:t>
                  </w:r>
                </w:p>
              </w:tc>
              <w:tc>
                <w:tcPr>
                  <w:tcW w:w="3441" w:type="dxa"/>
                  <w:tcBorders>
                    <w:top w:val="nil"/>
                    <w:left w:val="nil"/>
                    <w:bottom w:val="nil"/>
                    <w:right w:val="nil"/>
                  </w:tcBorders>
                  <w:shd w:val="clear" w:color="auto" w:fill="auto"/>
                  <w:tcMar>
                    <w:top w:w="0" w:type="dxa"/>
                    <w:left w:w="108" w:type="dxa"/>
                    <w:bottom w:w="0" w:type="dxa"/>
                    <w:right w:w="108" w:type="dxa"/>
                  </w:tcMar>
                  <w:hideMark/>
                </w:tcPr>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Tỷ lệ thuế TNDN</w:t>
                  </w:r>
                </w:p>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tính trên doanh thu</w:t>
                  </w:r>
                </w:p>
                <w:p w:rsidR="00CC42FD" w:rsidRPr="00CC42FD" w:rsidRDefault="00CC42FD" w:rsidP="00CC42FD">
                  <w:pPr>
                    <w:spacing w:after="0" w:line="240" w:lineRule="auto"/>
                    <w:jc w:val="center"/>
                    <w:rPr>
                      <w:rFonts w:ascii="Arial" w:eastAsia="Times New Roman" w:hAnsi="Arial" w:cs="Arial"/>
                      <w:sz w:val="18"/>
                      <w:szCs w:val="18"/>
                    </w:rPr>
                  </w:pPr>
                  <w:r w:rsidRPr="00CC42FD">
                    <w:rPr>
                      <w:rFonts w:ascii="Tahoma" w:eastAsia="Times New Roman" w:hAnsi="Tahoma" w:cs="Tahoma"/>
                      <w:color w:val="000080"/>
                      <w:sz w:val="20"/>
                      <w:szCs w:val="20"/>
                      <w:lang w:val="nl-NL"/>
                    </w:rPr>
                    <w:t>tính thuế</w:t>
                  </w:r>
                </w:p>
              </w:tc>
            </w:tr>
          </w:tbl>
          <w:p w:rsidR="00CC42FD" w:rsidRPr="00CC42FD" w:rsidRDefault="00CC42FD" w:rsidP="00CC42FD">
            <w:pPr>
              <w:spacing w:before="120" w:after="120" w:line="240" w:lineRule="auto"/>
              <w:ind w:firstLine="720"/>
              <w:jc w:val="both"/>
              <w:rPr>
                <w:rFonts w:ascii="Arial" w:eastAsia="Times New Roman" w:hAnsi="Arial" w:cs="Arial"/>
                <w:color w:val="000000"/>
                <w:sz w:val="18"/>
                <w:szCs w:val="18"/>
              </w:rPr>
            </w:pPr>
            <w:r w:rsidRPr="00CC42FD">
              <w:rPr>
                <w:rFonts w:ascii="Tahoma" w:eastAsia="Times New Roman" w:hAnsi="Tahoma" w:cs="Tahoma"/>
                <w:color w:val="000080"/>
                <w:sz w:val="18"/>
                <w:szCs w:val="18"/>
              </w:rPr>
              <w:t>Trong đó:</w:t>
            </w:r>
          </w:p>
          <w:p w:rsidR="00CC42FD" w:rsidRPr="00CC42FD" w:rsidRDefault="00CC42FD" w:rsidP="00CC42FD">
            <w:pPr>
              <w:spacing w:before="120" w:after="120" w:line="240" w:lineRule="auto"/>
              <w:ind w:firstLine="720"/>
              <w:jc w:val="both"/>
              <w:rPr>
                <w:rFonts w:ascii="Arial" w:eastAsia="Times New Roman" w:hAnsi="Arial" w:cs="Arial"/>
                <w:color w:val="000000"/>
                <w:sz w:val="18"/>
                <w:szCs w:val="18"/>
              </w:rPr>
            </w:pPr>
            <w:r w:rsidRPr="00CC42FD">
              <w:rPr>
                <w:rFonts w:ascii="Tahoma" w:eastAsia="Times New Roman" w:hAnsi="Tahoma" w:cs="Tahoma"/>
                <w:color w:val="000080"/>
                <w:sz w:val="18"/>
                <w:szCs w:val="18"/>
              </w:rPr>
              <w:t>- Doanh thu tính thuế TNDN là toàn bộ doanh thu không bao gồm thuế GTGT mà Nhà thầu nước ngoài, Nhà thầu phụ nước ngoài nhận được,chưa trừ các khoản thuế phải nộp. Doanh thu tính thuế TNDN được tính bao gồm cả các khoản chi phí do Bên Việt Nam trả thay Nhà thầu nước ngoài, Nhà thầu phụ nước ngoài (nếu có).</w:t>
            </w:r>
          </w:p>
          <w:p w:rsidR="00CC42FD" w:rsidRPr="00CC42FD" w:rsidRDefault="00CC42FD" w:rsidP="00CC42FD">
            <w:pPr>
              <w:spacing w:before="120" w:after="120" w:line="240" w:lineRule="auto"/>
              <w:ind w:firstLine="720"/>
              <w:jc w:val="both"/>
              <w:rPr>
                <w:rFonts w:ascii="Arial" w:eastAsia="Times New Roman" w:hAnsi="Arial" w:cs="Arial"/>
                <w:color w:val="000000"/>
                <w:sz w:val="18"/>
                <w:szCs w:val="18"/>
              </w:rPr>
            </w:pPr>
            <w:r w:rsidRPr="00CC42FD">
              <w:rPr>
                <w:rFonts w:ascii="Tahoma" w:eastAsia="Times New Roman" w:hAnsi="Tahoma" w:cs="Tahoma"/>
                <w:color w:val="000080"/>
                <w:sz w:val="18"/>
                <w:szCs w:val="18"/>
              </w:rPr>
              <w:t>- Tỷ lệ thuế TNDN tính trên doanh thu tính thuế đối với thu nhập bản quyền là 10%.</w:t>
            </w:r>
          </w:p>
          <w:p w:rsidR="00CC42FD" w:rsidRPr="00CC42FD" w:rsidRDefault="00CC42FD" w:rsidP="00CC42FD">
            <w:pPr>
              <w:spacing w:before="120" w:after="120" w:line="240" w:lineRule="auto"/>
              <w:ind w:firstLine="720"/>
              <w:jc w:val="both"/>
              <w:rPr>
                <w:rFonts w:ascii="Arial" w:eastAsia="Times New Roman" w:hAnsi="Arial" w:cs="Arial"/>
                <w:color w:val="000000"/>
                <w:sz w:val="18"/>
                <w:szCs w:val="18"/>
              </w:rPr>
            </w:pPr>
            <w:r w:rsidRPr="00CC42FD">
              <w:rPr>
                <w:rFonts w:ascii="Tahoma" w:eastAsia="Times New Roman" w:hAnsi="Tahoma" w:cs="Tahoma"/>
                <w:color w:val="000080"/>
                <w:sz w:val="18"/>
                <w:szCs w:val="18"/>
              </w:rPr>
              <w:t>Cục thuế tỉnh Bình Dương thông báo cho Công ty biết và thực hiện.</w:t>
            </w:r>
          </w:p>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Tahoma" w:eastAsia="Times New Roman" w:hAnsi="Tahoma" w:cs="Tahoma"/>
                <w:color w:val="000080"/>
                <w:sz w:val="18"/>
                <w:szCs w:val="18"/>
              </w:rPr>
              <w:t> </w:t>
            </w:r>
            <w:r w:rsidRPr="00CC42FD">
              <w:rPr>
                <w:rFonts w:ascii="Tahoma" w:eastAsia="Times New Roman" w:hAnsi="Tahoma" w:cs="Tahoma"/>
                <w:color w:val="000080"/>
                <w:sz w:val="18"/>
              </w:rPr>
              <w:t> </w:t>
            </w:r>
            <w:r w:rsidRPr="00CC42FD">
              <w:rPr>
                <w:rFonts w:ascii="Tahoma" w:eastAsia="Times New Roman" w:hAnsi="Tahoma" w:cs="Tahoma"/>
                <w:color w:val="000080"/>
                <w:sz w:val="18"/>
                <w:szCs w:val="18"/>
              </w:rPr>
              <w:t>                       </w:t>
            </w:r>
          </w:p>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Tahoma" w:eastAsia="Times New Roman" w:hAnsi="Tahoma" w:cs="Tahoma"/>
                <w:b/>
                <w:bCs/>
                <w:i/>
                <w:iCs/>
                <w:color w:val="000080"/>
                <w:sz w:val="18"/>
                <w:szCs w:val="18"/>
                <w:lang w:val="nl-NL"/>
              </w:rPr>
              <w:t>Nơi nhận:               </w:t>
            </w:r>
            <w:r w:rsidRPr="00CC42FD">
              <w:rPr>
                <w:rFonts w:ascii="Tahoma" w:eastAsia="Times New Roman" w:hAnsi="Tahoma" w:cs="Tahoma"/>
                <w:b/>
                <w:bCs/>
                <w:color w:val="000080"/>
                <w:sz w:val="18"/>
                <w:szCs w:val="18"/>
                <w:lang w:val="nl-NL"/>
              </w:rPr>
              <w:t>                                                             KT.CỤC TRƯỞNG</w:t>
            </w:r>
            <w:r w:rsidRPr="00CC42FD">
              <w:rPr>
                <w:rFonts w:ascii="Tahoma" w:eastAsia="Times New Roman" w:hAnsi="Tahoma" w:cs="Tahoma"/>
                <w:b/>
                <w:bCs/>
                <w:color w:val="000080"/>
                <w:sz w:val="18"/>
                <w:lang w:val="nl-NL"/>
              </w:rPr>
              <w:t> </w:t>
            </w:r>
            <w:r w:rsidRPr="00CC42FD">
              <w:rPr>
                <w:rFonts w:ascii="Tahoma" w:eastAsia="Times New Roman" w:hAnsi="Tahoma" w:cs="Tahoma"/>
                <w:b/>
                <w:bCs/>
                <w:color w:val="000080"/>
                <w:sz w:val="18"/>
                <w:szCs w:val="18"/>
                <w:lang w:val="nl-NL"/>
              </w:rPr>
              <w:t>   </w:t>
            </w:r>
          </w:p>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Tahoma" w:eastAsia="Times New Roman" w:hAnsi="Tahoma" w:cs="Tahoma"/>
                <w:i/>
                <w:iCs/>
                <w:color w:val="000080"/>
                <w:sz w:val="18"/>
                <w:szCs w:val="18"/>
                <w:lang w:val="nl-NL"/>
              </w:rPr>
              <w:t> </w:t>
            </w:r>
            <w:r w:rsidRPr="00CC42FD">
              <w:rPr>
                <w:rFonts w:ascii="Tahoma" w:eastAsia="Times New Roman" w:hAnsi="Tahoma" w:cs="Tahoma"/>
                <w:i/>
                <w:iCs/>
                <w:color w:val="000080"/>
                <w:sz w:val="18"/>
                <w:lang w:val="nl-NL"/>
              </w:rPr>
              <w:t> </w:t>
            </w:r>
            <w:r w:rsidRPr="00CC42FD">
              <w:rPr>
                <w:rFonts w:ascii="Tahoma" w:eastAsia="Times New Roman" w:hAnsi="Tahoma" w:cs="Tahoma"/>
                <w:i/>
                <w:iCs/>
                <w:color w:val="000080"/>
                <w:sz w:val="18"/>
                <w:szCs w:val="18"/>
                <w:lang w:val="nl-NL"/>
              </w:rPr>
              <w:t>-</w:t>
            </w:r>
            <w:r w:rsidRPr="00CC42FD">
              <w:rPr>
                <w:rFonts w:ascii="Tahoma" w:eastAsia="Times New Roman" w:hAnsi="Tahoma" w:cs="Tahoma"/>
                <w:color w:val="000080"/>
                <w:sz w:val="18"/>
                <w:lang w:val="nl-NL"/>
              </w:rPr>
              <w:t> </w:t>
            </w:r>
            <w:r w:rsidRPr="00CC42FD">
              <w:rPr>
                <w:rFonts w:ascii="Tahoma" w:eastAsia="Times New Roman" w:hAnsi="Tahoma" w:cs="Tahoma"/>
                <w:color w:val="000080"/>
                <w:sz w:val="18"/>
                <w:szCs w:val="18"/>
                <w:lang w:val="nl-NL"/>
              </w:rPr>
              <w:t>Như trên;                                                                        </w:t>
            </w:r>
            <w:r w:rsidRPr="00CC42FD">
              <w:rPr>
                <w:rFonts w:ascii="Tahoma" w:eastAsia="Times New Roman" w:hAnsi="Tahoma" w:cs="Tahoma"/>
                <w:b/>
                <w:bCs/>
                <w:color w:val="000080"/>
                <w:sz w:val="18"/>
                <w:szCs w:val="18"/>
                <w:lang w:val="nl-NL"/>
              </w:rPr>
              <w:t>PHÓ CỤC TRƯỞNG</w:t>
            </w:r>
          </w:p>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Tahoma" w:eastAsia="Times New Roman" w:hAnsi="Tahoma" w:cs="Tahoma"/>
                <w:color w:val="000080"/>
                <w:sz w:val="18"/>
                <w:szCs w:val="18"/>
                <w:lang w:val="nl-NL"/>
              </w:rPr>
              <w:t>  </w:t>
            </w:r>
            <w:r w:rsidRPr="00CC42FD">
              <w:rPr>
                <w:rFonts w:ascii="Tahoma" w:eastAsia="Times New Roman" w:hAnsi="Tahoma" w:cs="Tahoma"/>
                <w:color w:val="000080"/>
                <w:sz w:val="18"/>
                <w:szCs w:val="18"/>
              </w:rPr>
              <w:t>- P.TT &amp; HT ;</w:t>
            </w:r>
          </w:p>
          <w:p w:rsidR="00CC42FD" w:rsidRPr="00CC42FD" w:rsidRDefault="00CC42FD" w:rsidP="00CC42FD">
            <w:pPr>
              <w:spacing w:after="0" w:line="240" w:lineRule="auto"/>
              <w:rPr>
                <w:rFonts w:ascii="Arial" w:eastAsia="Times New Roman" w:hAnsi="Arial" w:cs="Arial"/>
                <w:color w:val="000000"/>
                <w:sz w:val="18"/>
                <w:szCs w:val="18"/>
              </w:rPr>
            </w:pPr>
            <w:r w:rsidRPr="00CC42FD">
              <w:rPr>
                <w:rFonts w:ascii="Tahoma" w:eastAsia="Times New Roman" w:hAnsi="Tahoma" w:cs="Tahoma"/>
                <w:i/>
                <w:iCs/>
                <w:color w:val="000080"/>
                <w:sz w:val="18"/>
                <w:szCs w:val="18"/>
              </w:rPr>
              <w:t> </w:t>
            </w:r>
            <w:r w:rsidRPr="00CC42FD">
              <w:rPr>
                <w:rFonts w:ascii="Tahoma" w:eastAsia="Times New Roman" w:hAnsi="Tahoma" w:cs="Tahoma"/>
                <w:i/>
                <w:iCs/>
                <w:color w:val="000080"/>
                <w:sz w:val="18"/>
              </w:rPr>
              <w:t> </w:t>
            </w:r>
            <w:r w:rsidRPr="00CC42FD">
              <w:rPr>
                <w:rFonts w:ascii="Tahoma" w:eastAsia="Times New Roman" w:hAnsi="Tahoma" w:cs="Tahoma"/>
                <w:i/>
                <w:iCs/>
                <w:color w:val="000080"/>
                <w:sz w:val="18"/>
                <w:szCs w:val="18"/>
              </w:rPr>
              <w:t>-</w:t>
            </w:r>
            <w:r w:rsidRPr="00CC42FD">
              <w:rPr>
                <w:rFonts w:ascii="Tahoma" w:eastAsia="Times New Roman" w:hAnsi="Tahoma" w:cs="Tahoma"/>
                <w:color w:val="000080"/>
                <w:sz w:val="18"/>
              </w:rPr>
              <w:t> </w:t>
            </w:r>
            <w:r w:rsidRPr="00CC42FD">
              <w:rPr>
                <w:rFonts w:ascii="Tahoma" w:eastAsia="Times New Roman" w:hAnsi="Tahoma" w:cs="Tahoma"/>
                <w:color w:val="000080"/>
                <w:sz w:val="18"/>
                <w:szCs w:val="18"/>
              </w:rPr>
              <w:t>Lưu HCQT-TV-AC.</w:t>
            </w:r>
            <w:r w:rsidRPr="00CC42FD">
              <w:rPr>
                <w:rFonts w:ascii="Tahoma" w:eastAsia="Times New Roman" w:hAnsi="Tahoma" w:cs="Tahoma"/>
                <w:color w:val="000080"/>
                <w:sz w:val="20"/>
                <w:szCs w:val="20"/>
              </w:rPr>
              <w:t>                                                       Đã ký : Võ Thanh Bình</w:t>
            </w:r>
          </w:p>
        </w:tc>
      </w:tr>
    </w:tbl>
    <w:p w:rsidR="00560284" w:rsidRDefault="00560284"/>
    <w:sectPr w:rsidR="00560284" w:rsidSect="00DE3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93CA3"/>
    <w:rsid w:val="00393CA3"/>
    <w:rsid w:val="00560284"/>
    <w:rsid w:val="00CC42FD"/>
    <w:rsid w:val="00DE3C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3CA3"/>
  </w:style>
  <w:style w:type="paragraph" w:styleId="NormalWeb">
    <w:name w:val="Normal (Web)"/>
    <w:basedOn w:val="Normal"/>
    <w:uiPriority w:val="99"/>
    <w:semiHidden/>
    <w:unhideWhenUsed/>
    <w:rsid w:val="00393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864134">
      <w:bodyDiv w:val="1"/>
      <w:marLeft w:val="0"/>
      <w:marRight w:val="0"/>
      <w:marTop w:val="0"/>
      <w:marBottom w:val="0"/>
      <w:divBdr>
        <w:top w:val="none" w:sz="0" w:space="0" w:color="auto"/>
        <w:left w:val="none" w:sz="0" w:space="0" w:color="auto"/>
        <w:bottom w:val="none" w:sz="0" w:space="0" w:color="auto"/>
        <w:right w:val="none" w:sz="0" w:space="0" w:color="auto"/>
      </w:divBdr>
    </w:div>
    <w:div w:id="1586765822">
      <w:bodyDiv w:val="1"/>
      <w:marLeft w:val="0"/>
      <w:marRight w:val="0"/>
      <w:marTop w:val="0"/>
      <w:marBottom w:val="0"/>
      <w:divBdr>
        <w:top w:val="none" w:sz="0" w:space="0" w:color="auto"/>
        <w:left w:val="none" w:sz="0" w:space="0" w:color="auto"/>
        <w:bottom w:val="none" w:sz="0" w:space="0" w:color="auto"/>
        <w:right w:val="none" w:sz="0" w:space="0" w:color="auto"/>
      </w:divBdr>
    </w:div>
    <w:div w:id="1705014621">
      <w:bodyDiv w:val="1"/>
      <w:marLeft w:val="0"/>
      <w:marRight w:val="0"/>
      <w:marTop w:val="0"/>
      <w:marBottom w:val="0"/>
      <w:divBdr>
        <w:top w:val="none" w:sz="0" w:space="0" w:color="auto"/>
        <w:left w:val="none" w:sz="0" w:space="0" w:color="auto"/>
        <w:bottom w:val="none" w:sz="0" w:space="0" w:color="auto"/>
        <w:right w:val="none" w:sz="0" w:space="0" w:color="auto"/>
      </w:divBdr>
    </w:div>
    <w:div w:id="184847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dc:creator>
  <cp:keywords/>
  <dc:description/>
  <cp:lastModifiedBy>ags</cp:lastModifiedBy>
  <cp:revision>3</cp:revision>
  <dcterms:created xsi:type="dcterms:W3CDTF">2013-11-28T07:56:00Z</dcterms:created>
  <dcterms:modified xsi:type="dcterms:W3CDTF">2013-11-28T08:56:00Z</dcterms:modified>
</cp:coreProperties>
</file>